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2576D" w14:textId="38273293" w:rsidR="00FA7DE3" w:rsidRDefault="005C31AF">
      <w:r>
        <w:tab/>
        <w:t xml:space="preserve">Between the time gap of 2007 to 2012, the Costa Rican economy maintained a deficit in their current account owing to a negative trade balance </w:t>
      </w:r>
      <w:r w:rsidR="003D3CBD">
        <w:t>which contributed to a</w:t>
      </w:r>
      <w:r>
        <w:t xml:space="preserve"> continual </w:t>
      </w:r>
      <w:r w:rsidR="003D3CBD">
        <w:t>decline of their current account balance through this period</w:t>
      </w:r>
      <w:r>
        <w:t xml:space="preserve">. This case study will analyze the global recession of 2008 </w:t>
      </w:r>
      <w:r w:rsidR="000F09E7">
        <w:t xml:space="preserve">in Costa Rica </w:t>
      </w:r>
      <w:r>
        <w:t>and how it</w:t>
      </w:r>
      <w:r w:rsidR="000F09E7">
        <w:t xml:space="preserve"> had</w:t>
      </w:r>
      <w:r>
        <w:t xml:space="preserve"> </w:t>
      </w:r>
      <w:r w:rsidR="000F09E7">
        <w:t>affected</w:t>
      </w:r>
      <w:r w:rsidR="005C5BD7">
        <w:t xml:space="preserve"> the</w:t>
      </w:r>
      <w:r w:rsidR="000F09E7">
        <w:t xml:space="preserve"> </w:t>
      </w:r>
      <w:r>
        <w:t xml:space="preserve">balance of </w:t>
      </w:r>
      <w:r w:rsidR="000F09E7">
        <w:t>payment</w:t>
      </w:r>
      <w:r w:rsidR="005C5BD7">
        <w:t>s</w:t>
      </w:r>
      <w:r w:rsidR="000F09E7">
        <w:t xml:space="preserve"> yet maintained an overall surplus due to strong inflows of foreign investment</w:t>
      </w:r>
      <w:r>
        <w:t>. In this paper,</w:t>
      </w:r>
      <w:r w:rsidR="000F09E7">
        <w:t xml:space="preserve"> the deficit will first be analyzed, </w:t>
      </w:r>
      <w:r w:rsidR="008E28FD">
        <w:t>and how</w:t>
      </w:r>
      <w:r w:rsidR="000F09E7">
        <w:t xml:space="preserve"> the foreign investment and </w:t>
      </w:r>
      <w:r w:rsidR="008E28FD">
        <w:t>a strong financial account</w:t>
      </w:r>
      <w:r w:rsidR="000F09E7">
        <w:t xml:space="preserve"> had sustained Costa Rica through the global slowdown of 2008.</w:t>
      </w:r>
      <w:r>
        <w:t xml:space="preserve"> </w:t>
      </w:r>
      <w:r w:rsidR="000F09E7">
        <w:t>T</w:t>
      </w:r>
      <w:r>
        <w:t xml:space="preserve">his </w:t>
      </w:r>
      <w:r w:rsidR="000F09E7">
        <w:t xml:space="preserve">foreign investment </w:t>
      </w:r>
      <w:r w:rsidR="00B906AD">
        <w:t xml:space="preserve">and its effect in the 2008 global slowdown </w:t>
      </w:r>
      <w:r>
        <w:t>will be the central point</w:t>
      </w:r>
      <w:r w:rsidR="00D13C92">
        <w:t xml:space="preserve"> of this paper,</w:t>
      </w:r>
      <w:r>
        <w:t xml:space="preserve"> </w:t>
      </w:r>
      <w:r w:rsidR="005C5BD7">
        <w:t xml:space="preserve">while </w:t>
      </w:r>
      <w:r>
        <w:t>focusing</w:t>
      </w:r>
      <w:r w:rsidR="000F09E7">
        <w:t xml:space="preserve"> </w:t>
      </w:r>
      <w:r w:rsidR="005C5BD7">
        <w:t xml:space="preserve">also </w:t>
      </w:r>
      <w:r w:rsidR="000F09E7">
        <w:t>o</w:t>
      </w:r>
      <w:r w:rsidR="00D13C92">
        <w:t>n</w:t>
      </w:r>
      <w:r>
        <w:t xml:space="preserve"> how Costa Rica financed this constant </w:t>
      </w:r>
      <w:r w:rsidR="00B906AD">
        <w:t xml:space="preserve">current account </w:t>
      </w:r>
      <w:r>
        <w:t xml:space="preserve">deficit through means of its capital and financial accounts due particularly to substantial inflows of foreign direct investment, portfolio investment, and high levels of both public and private borrowing. </w:t>
      </w:r>
    </w:p>
    <w:p w14:paraId="0CC37DEF" w14:textId="2E1EC6B0" w:rsidR="00CC7F4C" w:rsidRDefault="000F09E7" w:rsidP="00920576">
      <w:r>
        <w:tab/>
        <w:t xml:space="preserve">This consistent deficit is found in the current account balance, most noticeably the trade </w:t>
      </w:r>
      <w:r w:rsidR="00D06422">
        <w:t>deficit</w:t>
      </w:r>
      <w:r>
        <w:t>. Following the IMF’s balance of payments sheet</w:t>
      </w:r>
      <w:r w:rsidR="006F338A">
        <w:t xml:space="preserve"> in the years of 2007-2012</w:t>
      </w:r>
      <w:r>
        <w:t xml:space="preserve">, </w:t>
      </w:r>
      <w:r w:rsidR="0039053F">
        <w:t>there was a trade imbalance</w:t>
      </w:r>
      <w:r>
        <w:t xml:space="preserve"> </w:t>
      </w:r>
      <w:r w:rsidR="0039053F">
        <w:t>with</w:t>
      </w:r>
      <w:r w:rsidR="00544CB5">
        <w:t xml:space="preserve"> a total current account balance deficit of </w:t>
      </w:r>
      <w:r w:rsidR="006F338A">
        <w:t>-</w:t>
      </w:r>
      <w:r w:rsidR="00544CB5">
        <w:t>$1,755 million</w:t>
      </w:r>
      <w:r>
        <w:t xml:space="preserve">. </w:t>
      </w:r>
      <w:r w:rsidR="00D06422">
        <w:t xml:space="preserve">Meanwhile, the financial </w:t>
      </w:r>
      <w:r w:rsidR="00544CB5">
        <w:t>account had a surplus average of $2,50</w:t>
      </w:r>
      <w:r w:rsidR="003D3CBD">
        <w:t>2 million</w:t>
      </w:r>
      <w:r w:rsidR="006F338A">
        <w:t xml:space="preserve"> and </w:t>
      </w:r>
      <w:r w:rsidR="008E28FD">
        <w:t xml:space="preserve">a </w:t>
      </w:r>
      <w:r w:rsidR="006F338A">
        <w:t>capital account surplus average of $3</w:t>
      </w:r>
      <w:r w:rsidR="003D3CBD">
        <w:t xml:space="preserve">5 </w:t>
      </w:r>
      <w:r w:rsidR="006F338A">
        <w:t>million</w:t>
      </w:r>
      <w:r w:rsidR="003D3CBD">
        <w:t xml:space="preserve"> (comparisons found in Graph </w:t>
      </w:r>
      <w:r w:rsidR="00E90F71">
        <w:t>1</w:t>
      </w:r>
      <w:r w:rsidR="003D3CBD">
        <w:t>)</w:t>
      </w:r>
      <w:r w:rsidR="00544CB5">
        <w:t xml:space="preserve">; putting the country’s balance of payments at a surplus </w:t>
      </w:r>
      <w:r w:rsidR="003D3CBD">
        <w:t xml:space="preserve">average </w:t>
      </w:r>
      <w:r w:rsidR="00544CB5">
        <w:t>of $</w:t>
      </w:r>
      <w:r w:rsidR="00544CB5" w:rsidRPr="00544CB5">
        <w:t>7</w:t>
      </w:r>
      <w:r w:rsidR="006F338A">
        <w:t>81</w:t>
      </w:r>
      <w:r w:rsidR="003D3CBD">
        <w:t xml:space="preserve"> million</w:t>
      </w:r>
      <w:r w:rsidR="00544CB5">
        <w:t xml:space="preserve"> (IMF). </w:t>
      </w:r>
      <w:r w:rsidR="00FA7DE3">
        <w:t>These averages</w:t>
      </w:r>
      <w:r w:rsidR="003D3CBD">
        <w:t xml:space="preserve"> show that the inflow from FDI covers the expense and deficit of the current account</w:t>
      </w:r>
      <w:r w:rsidR="00FA7DE3">
        <w:t>.</w:t>
      </w:r>
      <w:r w:rsidR="00FE183A">
        <w:t xml:space="preserve"> An executive summary by the World Trade Organization goes on to say that the deficit in this period was offset, “by the surplus on the capital and financial accounts, fueled by strong foreign capital inflows of both FDI and portfolio investment.”</w:t>
      </w:r>
      <w:r w:rsidR="00FA7DE3">
        <w:t xml:space="preserve"> </w:t>
      </w:r>
      <w:r w:rsidR="00920576">
        <w:t>A senior economist</w:t>
      </w:r>
      <w:r w:rsidR="00AE7E7D">
        <w:t xml:space="preserve"> at CEPR, Cordero, </w:t>
      </w:r>
      <w:r w:rsidR="00920576">
        <w:t xml:space="preserve">writes, “In spite of high import bills (due </w:t>
      </w:r>
      <w:r w:rsidR="00920576">
        <w:lastRenderedPageBreak/>
        <w:t>partly to high prices of oil and raw materials), the capital and financial account more than offset the current account deficit, giving rise to an accumulation of international monetary reserves in both 2006 and 2007”</w:t>
      </w:r>
      <w:r w:rsidR="00502386">
        <w:t>. This direct investment was used for the development of new production facilities for export purposes, but an important portion of investment flows was associated with real estate development, especially in the touri</w:t>
      </w:r>
      <w:r w:rsidR="001C46B9">
        <w:t>sm</w:t>
      </w:r>
      <w:r w:rsidR="00502386">
        <w:t xml:space="preserve"> sector. While the “funding for these facilities was provided by U.S. banks”, the 2008 recession restricted credit lines upon the crash (Antonio-Cordero). </w:t>
      </w:r>
      <w:r w:rsidR="00AE7E7D">
        <w:t xml:space="preserve">According to Jorge Guardia, another senior economist, lawyer, and former president of the Costa Rican Central Bank, the </w:t>
      </w:r>
      <w:r w:rsidR="007C1EA5">
        <w:t>period</w:t>
      </w:r>
      <w:r w:rsidR="00AE7E7D">
        <w:t xml:space="preserve"> beginning in 2006 going</w:t>
      </w:r>
      <w:r w:rsidR="007C1EA5">
        <w:t xml:space="preserve"> </w:t>
      </w:r>
      <w:r w:rsidR="00AD515F">
        <w:t>up to early 2008 was a planned expansionary period</w:t>
      </w:r>
      <w:r w:rsidR="00AE7E7D">
        <w:t xml:space="preserve"> in an expansionary-fiscal-policy. According to the former central bank president</w:t>
      </w:r>
      <w:r w:rsidR="00AD515F">
        <w:t xml:space="preserve">, </w:t>
      </w:r>
      <w:r w:rsidR="00AE7E7D">
        <w:t>this period held</w:t>
      </w:r>
      <w:r w:rsidR="00AD515F">
        <w:t xml:space="preserve"> exceptionally strong FDI and a drop in the exchange rate</w:t>
      </w:r>
      <w:r w:rsidR="00AE7E7D">
        <w:t xml:space="preserve"> during which liquidity of Colones and Dollars increased</w:t>
      </w:r>
      <w:r w:rsidR="00AD515F">
        <w:t>. However, th</w:t>
      </w:r>
      <w:r w:rsidR="00AE7E7D">
        <w:t>is</w:t>
      </w:r>
      <w:r w:rsidR="00AD515F">
        <w:t xml:space="preserve"> expansionary period was reaching what </w:t>
      </w:r>
      <w:r w:rsidR="005C5BD7">
        <w:t>La</w:t>
      </w:r>
      <w:r w:rsidR="00AD515F">
        <w:t xml:space="preserve"> Universidad de Costa Rica calls the “Cacique Effect”, wh</w:t>
      </w:r>
      <w:r w:rsidR="00E22341">
        <w:t>ose title originates from a popular liquor brand and</w:t>
      </w:r>
      <w:r w:rsidR="00AD515F">
        <w:t xml:space="preserve"> is the same idea as being hung-over – where one must pay the price of the previous fun night (O’neil-Coto). </w:t>
      </w:r>
    </w:p>
    <w:p w14:paraId="3FE92CF3" w14:textId="7E7A969A" w:rsidR="00DE1036" w:rsidRDefault="00AD515F" w:rsidP="00920576">
      <w:r>
        <w:tab/>
      </w:r>
      <w:r w:rsidR="00E22341">
        <w:t xml:space="preserve">This </w:t>
      </w:r>
      <w:r w:rsidR="00FC61C5">
        <w:t>‘</w:t>
      </w:r>
      <w:r w:rsidR="00E22341">
        <w:t>night of fun</w:t>
      </w:r>
      <w:r w:rsidR="00FC61C5">
        <w:t>’</w:t>
      </w:r>
      <w:r w:rsidR="00E22341">
        <w:t xml:space="preserve"> </w:t>
      </w:r>
      <w:r w:rsidR="00FC61C5">
        <w:t xml:space="preserve">is coming to an end </w:t>
      </w:r>
      <w:r w:rsidR="00E22341">
        <w:t>as the nation enters y</w:t>
      </w:r>
      <w:r>
        <w:t>ear 2008</w:t>
      </w:r>
      <w:r w:rsidR="00E22341">
        <w:t>, which</w:t>
      </w:r>
      <w:r>
        <w:t xml:space="preserve"> begins with a rocky and scary start – the U.S. just started a major </w:t>
      </w:r>
      <w:r w:rsidR="00F372C9">
        <w:t>recession</w:t>
      </w:r>
      <w:r w:rsidR="00363521">
        <w:t xml:space="preserve"> which would be felt globally</w:t>
      </w:r>
      <w:r w:rsidR="00767C7B">
        <w:t xml:space="preserve">. </w:t>
      </w:r>
      <w:r w:rsidR="002D1163">
        <w:t xml:space="preserve">Simultaneous to this oncoming recession was this </w:t>
      </w:r>
      <w:r w:rsidR="00E22341">
        <w:t xml:space="preserve">planned </w:t>
      </w:r>
      <w:r w:rsidR="002D1163">
        <w:t>“Cacique effect”</w:t>
      </w:r>
      <w:r w:rsidR="00FC61C5">
        <w:t xml:space="preserve"> now that the expansionary period has ended</w:t>
      </w:r>
      <w:r w:rsidR="00E22341">
        <w:t>. Former president of the Central Bank, Jorge Guardi</w:t>
      </w:r>
      <w:r w:rsidR="00363521">
        <w:t>a noted that due to the end of the expansionary period combined with the oncoming recession, there will be a drop in exports as the recession hits other countries</w:t>
      </w:r>
      <w:r w:rsidR="00E90F71">
        <w:t xml:space="preserve"> (Graph 2)</w:t>
      </w:r>
      <w:r w:rsidR="00363521">
        <w:t xml:space="preserve">. He also </w:t>
      </w:r>
      <w:r w:rsidR="00E22341">
        <w:t>predicted that</w:t>
      </w:r>
      <w:r w:rsidR="00FC61C5">
        <w:t xml:space="preserve"> </w:t>
      </w:r>
      <w:r w:rsidR="00E22341">
        <w:t xml:space="preserve">by July the nation will see heavy drops in employment, real wages, and rises in poverty and redistribution of </w:t>
      </w:r>
      <w:r w:rsidR="00E22341">
        <w:lastRenderedPageBreak/>
        <w:t>wealth</w:t>
      </w:r>
      <w:r w:rsidR="008E28FD">
        <w:t>. This is because</w:t>
      </w:r>
      <w:r w:rsidR="00E22341">
        <w:t xml:space="preserve"> recessions hit those with less opportunities and wealth significantly </w:t>
      </w:r>
      <w:r w:rsidR="008E28FD">
        <w:t>harder</w:t>
      </w:r>
      <w:r w:rsidR="001C46B9">
        <w:t>. T</w:t>
      </w:r>
      <w:r w:rsidR="003A3AD5">
        <w:t>he</w:t>
      </w:r>
      <w:r w:rsidR="00B100CB">
        <w:t xml:space="preserve"> </w:t>
      </w:r>
      <w:r w:rsidR="003A3AD5">
        <w:t>global slowdown</w:t>
      </w:r>
      <w:r w:rsidR="00B100CB">
        <w:t xml:space="preserve"> and the end of the expansion period conjoi</w:t>
      </w:r>
      <w:r w:rsidR="003A3AD5">
        <w:t>ned</w:t>
      </w:r>
      <w:r w:rsidR="008E28FD">
        <w:t xml:space="preserve"> </w:t>
      </w:r>
      <w:r w:rsidR="00E22341">
        <w:t xml:space="preserve">(O’neil-Coto). This change can be seen on Costa Rica’s </w:t>
      </w:r>
      <w:r w:rsidR="00FC61C5">
        <w:t>b</w:t>
      </w:r>
      <w:r w:rsidR="00E22341">
        <w:t xml:space="preserve">alance of </w:t>
      </w:r>
      <w:r w:rsidR="00FC61C5">
        <w:t>p</w:t>
      </w:r>
      <w:r w:rsidR="00E22341">
        <w:t>ayments</w:t>
      </w:r>
      <w:r w:rsidR="00FC61C5">
        <w:t xml:space="preserve"> </w:t>
      </w:r>
      <w:r w:rsidR="00E22341">
        <w:t xml:space="preserve">as </w:t>
      </w:r>
      <w:r w:rsidR="000B2447">
        <w:t>a drop in all forms of national income</w:t>
      </w:r>
      <w:r w:rsidR="00BA5DF8">
        <w:t xml:space="preserve"> in the time between 2007-2008. </w:t>
      </w:r>
      <w:r w:rsidR="00036D1A">
        <w:t>Despite this,</w:t>
      </w:r>
      <w:r w:rsidR="00FC61C5">
        <w:t xml:space="preserve"> the</w:t>
      </w:r>
      <w:r w:rsidR="00BA5DF8">
        <w:t xml:space="preserve"> financial</w:t>
      </w:r>
      <w:r w:rsidR="005C5BD7">
        <w:t xml:space="preserve"> and capital</w:t>
      </w:r>
      <w:r w:rsidR="00BA5DF8">
        <w:t xml:space="preserve"> account</w:t>
      </w:r>
      <w:r w:rsidR="005C5BD7">
        <w:t>s</w:t>
      </w:r>
      <w:r w:rsidR="00BA5DF8">
        <w:t xml:space="preserve"> </w:t>
      </w:r>
      <w:r w:rsidR="00E90F71">
        <w:t>didn’t stray much</w:t>
      </w:r>
      <w:r w:rsidR="00BA5DF8">
        <w:t xml:space="preserve"> between 2007 and 2008,</w:t>
      </w:r>
      <w:r w:rsidR="00FC61C5">
        <w:t xml:space="preserve"> and</w:t>
      </w:r>
      <w:r w:rsidR="00BA5DF8">
        <w:t xml:space="preserve"> in 2009 the financial account dropped to less than a quarter it was in 2008 but </w:t>
      </w:r>
      <w:r w:rsidR="00036D1A">
        <w:t>managed to stay in total surplus</w:t>
      </w:r>
      <w:r w:rsidR="00E90F71">
        <w:t>.</w:t>
      </w:r>
      <w:r w:rsidR="00036D1A">
        <w:t xml:space="preserve"> </w:t>
      </w:r>
      <w:r w:rsidR="00E90F71">
        <w:t>Despite this major drop, there was a near complete recovery by</w:t>
      </w:r>
      <w:r w:rsidR="00036D1A">
        <w:t xml:space="preserve"> 2010</w:t>
      </w:r>
      <w:r w:rsidR="00E90F71">
        <w:t xml:space="preserve"> (Graph 3)</w:t>
      </w:r>
      <w:r w:rsidR="00BA5DF8">
        <w:t xml:space="preserve"> (IMF). </w:t>
      </w:r>
    </w:p>
    <w:p w14:paraId="18A338A2" w14:textId="50DF4265" w:rsidR="00AD515F" w:rsidRDefault="00DE1036" w:rsidP="00DE1036">
      <w:pPr>
        <w:ind w:firstLine="720"/>
      </w:pPr>
      <w:r>
        <w:t xml:space="preserve">After this 2008 global slowdown, </w:t>
      </w:r>
      <w:r w:rsidR="00431EFB">
        <w:t>the financial account gradually rose</w:t>
      </w:r>
      <w:r w:rsidR="009119F1">
        <w:t>. This</w:t>
      </w:r>
      <w:r w:rsidR="00431EFB">
        <w:t xml:space="preserve"> </w:t>
      </w:r>
      <w:r w:rsidR="00F012F7">
        <w:t xml:space="preserve">was mostly due in part to </w:t>
      </w:r>
      <w:r>
        <w:t>FDI, which stayed net positive despite the global slowdown and began to</w:t>
      </w:r>
      <w:r w:rsidR="00431EFB">
        <w:t xml:space="preserve"> </w:t>
      </w:r>
      <w:r>
        <w:t xml:space="preserve">rise after 2008 and even doubling its 2007 number </w:t>
      </w:r>
      <w:r w:rsidR="00431EFB">
        <w:t>by</w:t>
      </w:r>
      <w:r>
        <w:t xml:space="preserve"> 2012</w:t>
      </w:r>
      <w:r w:rsidR="005C5BD7">
        <w:t xml:space="preserve"> due almost entirely </w:t>
      </w:r>
      <w:r w:rsidR="00B100CB">
        <w:t>to</w:t>
      </w:r>
      <w:r w:rsidR="005C5BD7">
        <w:t xml:space="preserve"> FDI and loans</w:t>
      </w:r>
      <w:r w:rsidR="00502386">
        <w:t xml:space="preserve"> (WTO)</w:t>
      </w:r>
      <w:r>
        <w:t>.</w:t>
      </w:r>
      <w:r w:rsidR="00FE183A">
        <w:t xml:space="preserve"> </w:t>
      </w:r>
      <w:r w:rsidR="00502386">
        <w:t>Many of th</w:t>
      </w:r>
      <w:r w:rsidR="001C46B9">
        <w:t>ese</w:t>
      </w:r>
      <w:bookmarkStart w:id="0" w:name="_GoBack"/>
      <w:bookmarkEnd w:id="0"/>
      <w:r w:rsidR="00502386">
        <w:t xml:space="preserve"> FDI and these loans were plans that were set to happen earlier but got pushed out by the recession. One such case was a “US$800 million facility” that was “put on hold after the collapse of Lehman Brothers”, who was funding the project (Antonio-Cordero). </w:t>
      </w:r>
      <w:r w:rsidR="00431EFB">
        <w:t>Costa Rica was able to push through th</w:t>
      </w:r>
      <w:r w:rsidR="009119F1">
        <w:t>is</w:t>
      </w:r>
      <w:r w:rsidR="00431EFB">
        <w:t xml:space="preserve"> global slowdown by, “</w:t>
      </w:r>
      <w:r w:rsidR="00431EFB" w:rsidRPr="00431EFB">
        <w:t>expanding public spending while maintaining financial stability</w:t>
      </w:r>
      <w:r w:rsidR="00431EFB">
        <w:t>”</w:t>
      </w:r>
      <w:r w:rsidR="00A71700">
        <w:t xml:space="preserve"> and </w:t>
      </w:r>
      <w:r w:rsidR="009119F1">
        <w:t xml:space="preserve">despite the slowdown </w:t>
      </w:r>
      <w:r w:rsidR="00A71700">
        <w:t>the, “economy grew at an</w:t>
      </w:r>
      <w:r w:rsidR="005C5BD7">
        <w:t xml:space="preserve"> </w:t>
      </w:r>
      <w:r w:rsidR="00A71700">
        <w:t>annual average rate of 3.2% between 2007 and 2012” (WTO)</w:t>
      </w:r>
      <w:r w:rsidR="009119F1">
        <w:t xml:space="preserve">. This </w:t>
      </w:r>
      <w:r w:rsidR="00B100CB">
        <w:t>w</w:t>
      </w:r>
      <w:r w:rsidR="009119F1">
        <w:t>ould s</w:t>
      </w:r>
      <w:r w:rsidR="00A71700">
        <w:t>how continual growth and expansion despite such a heavy global economic impact in 2008</w:t>
      </w:r>
      <w:r w:rsidR="009119F1">
        <w:t xml:space="preserve"> and how borrowing and FDI played a major role in assisting this growth and stability.</w:t>
      </w:r>
      <w:r w:rsidR="00A71700">
        <w:t xml:space="preserve"> </w:t>
      </w:r>
    </w:p>
    <w:p w14:paraId="6D3362F0" w14:textId="77777777" w:rsidR="00EC123A" w:rsidRDefault="00A71700" w:rsidP="00E90F71">
      <w:pPr>
        <w:ind w:firstLine="720"/>
      </w:pPr>
      <w:r>
        <w:tab/>
      </w:r>
      <w:r w:rsidR="009119F1">
        <w:t xml:space="preserve">Costa Rica financed a consistent current account deficit through means of its capital and financial accounts, and this was done particularly through substantial inflows of foreign direct investment, portfolio investment, and high levels of both public and private </w:t>
      </w:r>
      <w:r w:rsidR="009119F1">
        <w:lastRenderedPageBreak/>
        <w:t xml:space="preserve">borrowing. </w:t>
      </w:r>
      <w:r>
        <w:t xml:space="preserve">The level of stability and growth </w:t>
      </w:r>
      <w:r w:rsidR="009119F1">
        <w:t xml:space="preserve">through the global slowdown of 2008 </w:t>
      </w:r>
      <w:r w:rsidR="00B100CB">
        <w:t>relied almost entirely on</w:t>
      </w:r>
      <w:r w:rsidR="009119F1">
        <w:t xml:space="preserve"> </w:t>
      </w:r>
      <w:r w:rsidR="00B100CB">
        <w:t>FD</w:t>
      </w:r>
      <w:r w:rsidR="009119F1">
        <w:t>I</w:t>
      </w:r>
      <w:r w:rsidR="00B100CB">
        <w:t xml:space="preserve"> and loans. These two aspects</w:t>
      </w:r>
      <w:r w:rsidR="009119F1">
        <w:t xml:space="preserve"> carried the </w:t>
      </w:r>
      <w:r w:rsidR="00B100CB">
        <w:t xml:space="preserve">Costa Rican </w:t>
      </w:r>
      <w:r w:rsidR="009119F1">
        <w:t xml:space="preserve">economy through the slowdown and kept the balance of payments </w:t>
      </w:r>
      <w:r w:rsidR="00B100CB">
        <w:t>in</w:t>
      </w:r>
      <w:r w:rsidR="009119F1">
        <w:t xml:space="preserve"> net positive, despite such a deep deficit in the current account. </w:t>
      </w:r>
      <w:r w:rsidR="00E90F71">
        <w:br/>
      </w:r>
    </w:p>
    <w:p w14:paraId="092DB314" w14:textId="77777777" w:rsidR="00EC123A" w:rsidRDefault="00EC123A" w:rsidP="00E90F71">
      <w:pPr>
        <w:ind w:firstLine="720"/>
      </w:pPr>
    </w:p>
    <w:p w14:paraId="449C10D3" w14:textId="77777777" w:rsidR="00EC123A" w:rsidRDefault="00EC123A" w:rsidP="00E90F71">
      <w:pPr>
        <w:ind w:firstLine="720"/>
      </w:pPr>
    </w:p>
    <w:p w14:paraId="185653A2" w14:textId="77777777" w:rsidR="00EC123A" w:rsidRDefault="00EC123A" w:rsidP="00E90F71">
      <w:pPr>
        <w:ind w:firstLine="720"/>
      </w:pPr>
    </w:p>
    <w:p w14:paraId="39228025" w14:textId="77777777" w:rsidR="00EC123A" w:rsidRDefault="00EC123A" w:rsidP="00E90F71">
      <w:pPr>
        <w:ind w:firstLine="720"/>
      </w:pPr>
    </w:p>
    <w:p w14:paraId="7F32BA25" w14:textId="77777777" w:rsidR="00EC123A" w:rsidRDefault="00EC123A" w:rsidP="00E90F71">
      <w:pPr>
        <w:ind w:firstLine="720"/>
      </w:pPr>
    </w:p>
    <w:p w14:paraId="49FA9111" w14:textId="77777777" w:rsidR="00EC123A" w:rsidRDefault="00EC123A" w:rsidP="00E90F71">
      <w:pPr>
        <w:ind w:firstLine="720"/>
      </w:pPr>
    </w:p>
    <w:p w14:paraId="7B80E763" w14:textId="77777777" w:rsidR="00EC123A" w:rsidRDefault="00EC123A" w:rsidP="00E90F71">
      <w:pPr>
        <w:ind w:firstLine="720"/>
      </w:pPr>
    </w:p>
    <w:p w14:paraId="555105F4" w14:textId="2C9C193C" w:rsidR="0039053F" w:rsidRDefault="0039053F" w:rsidP="00E90F71">
      <w:pPr>
        <w:ind w:firstLine="720"/>
      </w:pPr>
      <w:r>
        <w:lastRenderedPageBreak/>
        <w:t xml:space="preserve">Graph </w:t>
      </w:r>
      <w:r w:rsidR="00E90F71">
        <w:t>1</w:t>
      </w:r>
      <w:r>
        <w:t xml:space="preserve">: </w:t>
      </w:r>
      <w:r>
        <w:rPr>
          <w:noProof/>
        </w:rPr>
        <w:drawing>
          <wp:inline distT="0" distB="0" distL="0" distR="0" wp14:anchorId="738D4F78" wp14:editId="0F2E9D0B">
            <wp:extent cx="4572000" cy="2743200"/>
            <wp:effectExtent l="0" t="0" r="0" b="0"/>
            <wp:docPr id="2" name="Chart 2">
              <a:extLst xmlns:a="http://schemas.openxmlformats.org/drawingml/2006/main">
                <a:ext uri="{FF2B5EF4-FFF2-40B4-BE49-F238E27FC236}">
                  <a16:creationId xmlns:a16="http://schemas.microsoft.com/office/drawing/2014/main" id="{0DCB3455-C3C6-4B59-9F5E-4788872120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0D7371" w14:textId="56127823" w:rsidR="00363521" w:rsidRDefault="00363521" w:rsidP="0039053F"/>
    <w:p w14:paraId="1D97B880" w14:textId="1E54C0F4" w:rsidR="00363521" w:rsidRDefault="00363521" w:rsidP="0039053F">
      <w:r>
        <w:t xml:space="preserve">Graph </w:t>
      </w:r>
      <w:r w:rsidR="00E90F71">
        <w:t>2</w:t>
      </w:r>
      <w:r>
        <w:t xml:space="preserve">: </w:t>
      </w:r>
      <w:r>
        <w:rPr>
          <w:noProof/>
        </w:rPr>
        <w:drawing>
          <wp:inline distT="0" distB="0" distL="0" distR="0" wp14:anchorId="647095A5" wp14:editId="4E29D5D3">
            <wp:extent cx="4572000" cy="2743200"/>
            <wp:effectExtent l="0" t="0" r="0" b="0"/>
            <wp:docPr id="4" name="Chart 4">
              <a:extLst xmlns:a="http://schemas.openxmlformats.org/drawingml/2006/main">
                <a:ext uri="{FF2B5EF4-FFF2-40B4-BE49-F238E27FC236}">
                  <a16:creationId xmlns:a16="http://schemas.microsoft.com/office/drawing/2014/main" id="{8177CE96-47BF-46AF-B5CD-A27F0705E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7B2217" w14:textId="1BF3A488" w:rsidR="00E90F71" w:rsidRDefault="00E90F71" w:rsidP="0039053F">
      <w:r>
        <w:lastRenderedPageBreak/>
        <w:t xml:space="preserve">Graph 3: </w:t>
      </w:r>
      <w:r>
        <w:rPr>
          <w:noProof/>
        </w:rPr>
        <w:drawing>
          <wp:inline distT="0" distB="0" distL="0" distR="0" wp14:anchorId="6CFBA92E" wp14:editId="0D963742">
            <wp:extent cx="4572000" cy="2743200"/>
            <wp:effectExtent l="0" t="0" r="0" b="0"/>
            <wp:docPr id="1" name="Chart 1">
              <a:extLst xmlns:a="http://schemas.openxmlformats.org/drawingml/2006/main">
                <a:ext uri="{FF2B5EF4-FFF2-40B4-BE49-F238E27FC236}">
                  <a16:creationId xmlns:a16="http://schemas.microsoft.com/office/drawing/2014/main" id="{22A6E5A7-58F2-41DE-B818-7FA3115B3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691DE8" w14:textId="77777777" w:rsidR="00F54503" w:rsidRDefault="00F54503" w:rsidP="0033588A">
      <w:pPr>
        <w:jc w:val="center"/>
      </w:pPr>
    </w:p>
    <w:p w14:paraId="122C91A0" w14:textId="77777777" w:rsidR="00F54503" w:rsidRDefault="00F54503" w:rsidP="0033588A">
      <w:pPr>
        <w:jc w:val="center"/>
      </w:pPr>
    </w:p>
    <w:p w14:paraId="44BF5127" w14:textId="77777777" w:rsidR="00F54503" w:rsidRDefault="00F54503" w:rsidP="0033588A">
      <w:pPr>
        <w:jc w:val="center"/>
      </w:pPr>
    </w:p>
    <w:p w14:paraId="5D13FABF" w14:textId="77777777" w:rsidR="00F54503" w:rsidRDefault="00F54503" w:rsidP="0033588A">
      <w:pPr>
        <w:jc w:val="center"/>
      </w:pPr>
    </w:p>
    <w:p w14:paraId="7BA2BEA3" w14:textId="77777777" w:rsidR="00F54503" w:rsidRDefault="00F54503" w:rsidP="0033588A">
      <w:pPr>
        <w:jc w:val="center"/>
      </w:pPr>
    </w:p>
    <w:p w14:paraId="7D8C88AC" w14:textId="77777777" w:rsidR="00F54503" w:rsidRDefault="00F54503" w:rsidP="0033588A">
      <w:pPr>
        <w:jc w:val="center"/>
      </w:pPr>
    </w:p>
    <w:p w14:paraId="121EBB83" w14:textId="77777777" w:rsidR="00EC123A" w:rsidRDefault="00EC123A" w:rsidP="0033588A">
      <w:pPr>
        <w:jc w:val="center"/>
      </w:pPr>
    </w:p>
    <w:p w14:paraId="31B030F2" w14:textId="77777777" w:rsidR="00EC123A" w:rsidRDefault="00EC123A" w:rsidP="0033588A">
      <w:pPr>
        <w:jc w:val="center"/>
      </w:pPr>
    </w:p>
    <w:p w14:paraId="28B1095A" w14:textId="77777777" w:rsidR="00EC123A" w:rsidRDefault="00EC123A" w:rsidP="0033588A">
      <w:pPr>
        <w:jc w:val="center"/>
      </w:pPr>
    </w:p>
    <w:p w14:paraId="3A0D4917" w14:textId="77777777" w:rsidR="00EC123A" w:rsidRDefault="00EC123A" w:rsidP="0033588A">
      <w:pPr>
        <w:jc w:val="center"/>
      </w:pPr>
    </w:p>
    <w:p w14:paraId="7349C4F1" w14:textId="77777777" w:rsidR="008A761E" w:rsidRDefault="008A761E" w:rsidP="008A761E">
      <w:pPr>
        <w:jc w:val="center"/>
      </w:pPr>
      <w:r>
        <w:lastRenderedPageBreak/>
        <w:t>Works Cited</w:t>
      </w:r>
    </w:p>
    <w:p w14:paraId="70153727" w14:textId="77777777" w:rsidR="008A761E" w:rsidRDefault="008A761E" w:rsidP="008A761E">
      <w:pPr>
        <w:pStyle w:val="NormalWeb"/>
        <w:spacing w:line="480" w:lineRule="auto"/>
        <w:ind w:left="562" w:hanging="562"/>
      </w:pPr>
      <w:r>
        <w:t xml:space="preserve">Antonio Cordero, J. (2009). Costa Rica During the Global Recession: Fiscal Stimulus with Tight Monetary Policy. </w:t>
      </w:r>
      <w:r>
        <w:rPr>
          <w:i/>
          <w:iCs/>
        </w:rPr>
        <w:t>Center for Economic and Policy Research</w:t>
      </w:r>
      <w:r>
        <w:t xml:space="preserve">. Retrieved August 4, 2020, from </w:t>
      </w:r>
      <w:hyperlink r:id="rId10" w:history="1">
        <w:r w:rsidRPr="00E261CC">
          <w:rPr>
            <w:rStyle w:val="Hyperlink"/>
          </w:rPr>
          <w:t>https://www.files.ethz.ch/isn/103836/costa-rica-2009-07.pdf</w:t>
        </w:r>
      </w:hyperlink>
    </w:p>
    <w:p w14:paraId="78F1B8B1" w14:textId="77777777" w:rsidR="008A761E" w:rsidRDefault="008A761E" w:rsidP="008A761E">
      <w:pPr>
        <w:pStyle w:val="NormalWeb"/>
        <w:spacing w:line="480" w:lineRule="auto"/>
        <w:ind w:left="562" w:hanging="562"/>
      </w:pPr>
      <w:r>
        <w:t>O'neal Coto, K. (2009, March 12). Costa Rica pasó de la expansión a la recesión en doce meses. Retrieved August 2, 2020, from https://www.ucr.ac.cr/noticias/2009/03/12/costa-rica-paso-de-la-expansion-a-la-recesion-en-doce-meses.html47</w:t>
      </w:r>
    </w:p>
    <w:p w14:paraId="6C47634C" w14:textId="77777777" w:rsidR="008A761E" w:rsidRDefault="008A761E" w:rsidP="008A761E">
      <w:pPr>
        <w:pStyle w:val="NormalWeb"/>
        <w:spacing w:line="480" w:lineRule="auto"/>
        <w:ind w:left="562" w:hanging="562"/>
      </w:pPr>
      <w:r>
        <w:t xml:space="preserve">World Trade Organization (2013). TRADE POLICY REVIEW. </w:t>
      </w:r>
      <w:r>
        <w:rPr>
          <w:i/>
          <w:iCs/>
        </w:rPr>
        <w:t>Secretariat Report,</w:t>
      </w:r>
      <w:r>
        <w:t xml:space="preserve"> 8-12. Retrieved July 26, 2020, from </w:t>
      </w:r>
      <w:hyperlink r:id="rId11" w:history="1">
        <w:r w:rsidRPr="00E261CC">
          <w:rPr>
            <w:rStyle w:val="Hyperlink"/>
          </w:rPr>
          <w:t>https://www.wto.org/english/tratop_e/tpr_e/tp386_e.htm</w:t>
        </w:r>
      </w:hyperlink>
    </w:p>
    <w:p w14:paraId="68A39B8F" w14:textId="77777777" w:rsidR="00F452D2" w:rsidRDefault="00F452D2" w:rsidP="00F452D2">
      <w:pPr>
        <w:pStyle w:val="NormalWeb"/>
        <w:spacing w:line="480" w:lineRule="auto"/>
        <w:ind w:left="562" w:hanging="562"/>
      </w:pPr>
    </w:p>
    <w:p w14:paraId="0FA02D05" w14:textId="77777777" w:rsidR="00F452D2" w:rsidRDefault="00F452D2" w:rsidP="00F452D2">
      <w:pPr>
        <w:pStyle w:val="NormalWeb"/>
        <w:spacing w:line="480" w:lineRule="auto"/>
        <w:ind w:left="562" w:hanging="562"/>
      </w:pPr>
    </w:p>
    <w:p w14:paraId="060BB390" w14:textId="77777777" w:rsidR="00F452D2" w:rsidRDefault="00F452D2" w:rsidP="00F452D2">
      <w:pPr>
        <w:pStyle w:val="NormalWeb"/>
        <w:spacing w:line="480" w:lineRule="auto"/>
        <w:ind w:left="562" w:hanging="562"/>
      </w:pPr>
    </w:p>
    <w:p w14:paraId="1A5CCAFB" w14:textId="77777777" w:rsidR="0033588A" w:rsidRDefault="0033588A" w:rsidP="00920576"/>
    <w:p w14:paraId="7DD49A16" w14:textId="6E131FFA" w:rsidR="00F012F7" w:rsidRDefault="00F012F7" w:rsidP="00920576">
      <w:r>
        <w:tab/>
      </w:r>
    </w:p>
    <w:p w14:paraId="4A167A80" w14:textId="5B6652D8" w:rsidR="00FC61C5" w:rsidRDefault="00FC61C5" w:rsidP="00920576">
      <w:r>
        <w:tab/>
      </w:r>
    </w:p>
    <w:p w14:paraId="2BB78076" w14:textId="77777777" w:rsidR="00AD515F" w:rsidRDefault="00AD515F" w:rsidP="007C1EA5">
      <w:pPr>
        <w:pStyle w:val="NormalWeb"/>
        <w:ind w:left="567" w:hanging="567"/>
      </w:pPr>
    </w:p>
    <w:p w14:paraId="3CFB7390" w14:textId="596D0FCE" w:rsidR="005C31AF" w:rsidRDefault="005C31AF"/>
    <w:sectPr w:rsidR="005C31A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BE1C7" w14:textId="77777777" w:rsidR="00697F1A" w:rsidRDefault="00697F1A" w:rsidP="005C31AF">
      <w:pPr>
        <w:spacing w:after="0" w:line="240" w:lineRule="auto"/>
      </w:pPr>
      <w:r>
        <w:separator/>
      </w:r>
    </w:p>
  </w:endnote>
  <w:endnote w:type="continuationSeparator" w:id="0">
    <w:p w14:paraId="7D056429" w14:textId="77777777" w:rsidR="00697F1A" w:rsidRDefault="00697F1A" w:rsidP="005C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FB1C4" w14:textId="77777777" w:rsidR="00697F1A" w:rsidRDefault="00697F1A" w:rsidP="005C31AF">
      <w:pPr>
        <w:spacing w:after="0" w:line="240" w:lineRule="auto"/>
      </w:pPr>
      <w:r>
        <w:separator/>
      </w:r>
    </w:p>
  </w:footnote>
  <w:footnote w:type="continuationSeparator" w:id="0">
    <w:p w14:paraId="7176B2B6" w14:textId="77777777" w:rsidR="00697F1A" w:rsidRDefault="00697F1A" w:rsidP="005C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57E2" w14:textId="305F510F" w:rsidR="00FA7DE3" w:rsidRDefault="00FA7DE3" w:rsidP="005C31AF">
    <w:pPr>
      <w:pStyle w:val="Header"/>
    </w:pPr>
    <w:r>
      <w:t>Gavin Melendez</w:t>
    </w:r>
    <w:r>
      <w:br/>
      <w:t>Professor Danby</w:t>
    </w:r>
    <w:r>
      <w:br/>
      <w:t>BISGST 324</w:t>
    </w:r>
    <w:r>
      <w:br/>
      <w:t>Date</w:t>
    </w:r>
  </w:p>
  <w:p w14:paraId="628462B1" w14:textId="6F0FB182" w:rsidR="00FA7DE3" w:rsidRDefault="00FA7DE3" w:rsidP="005C31AF">
    <w:pPr>
      <w:pStyle w:val="Header"/>
      <w:jc w:val="center"/>
    </w:pPr>
    <w:r>
      <w:t>Balance of Payments Analysis of Costa Rica, 2007-2012</w:t>
    </w:r>
  </w:p>
  <w:p w14:paraId="4819BACB" w14:textId="77777777" w:rsidR="00F661D4" w:rsidRDefault="00F661D4" w:rsidP="005C31A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AF"/>
    <w:rsid w:val="000034CF"/>
    <w:rsid w:val="00031C7C"/>
    <w:rsid w:val="00036D1A"/>
    <w:rsid w:val="000B2447"/>
    <w:rsid w:val="000F09E7"/>
    <w:rsid w:val="001278FA"/>
    <w:rsid w:val="0013438C"/>
    <w:rsid w:val="001C46B9"/>
    <w:rsid w:val="001E31D5"/>
    <w:rsid w:val="00214FC3"/>
    <w:rsid w:val="002B4601"/>
    <w:rsid w:val="002D1163"/>
    <w:rsid w:val="0033588A"/>
    <w:rsid w:val="00363521"/>
    <w:rsid w:val="0039053F"/>
    <w:rsid w:val="003A3AD5"/>
    <w:rsid w:val="003B665F"/>
    <w:rsid w:val="003D3CBD"/>
    <w:rsid w:val="003D58D6"/>
    <w:rsid w:val="0042458F"/>
    <w:rsid w:val="00431EFB"/>
    <w:rsid w:val="00463E8A"/>
    <w:rsid w:val="00502386"/>
    <w:rsid w:val="00544CB5"/>
    <w:rsid w:val="005C31AF"/>
    <w:rsid w:val="005C5BD7"/>
    <w:rsid w:val="005D06D5"/>
    <w:rsid w:val="00697F1A"/>
    <w:rsid w:val="006F338A"/>
    <w:rsid w:val="00712324"/>
    <w:rsid w:val="00767C7B"/>
    <w:rsid w:val="007C1EA5"/>
    <w:rsid w:val="007C67A1"/>
    <w:rsid w:val="008A761E"/>
    <w:rsid w:val="008E28FD"/>
    <w:rsid w:val="009119F1"/>
    <w:rsid w:val="00920576"/>
    <w:rsid w:val="00954559"/>
    <w:rsid w:val="00984FFD"/>
    <w:rsid w:val="00A301DF"/>
    <w:rsid w:val="00A71614"/>
    <w:rsid w:val="00A71700"/>
    <w:rsid w:val="00AD515F"/>
    <w:rsid w:val="00AE7E7D"/>
    <w:rsid w:val="00B100CB"/>
    <w:rsid w:val="00B36D8D"/>
    <w:rsid w:val="00B906AD"/>
    <w:rsid w:val="00BA5DF8"/>
    <w:rsid w:val="00C611C6"/>
    <w:rsid w:val="00CB7F33"/>
    <w:rsid w:val="00CC7F4C"/>
    <w:rsid w:val="00CE1BB1"/>
    <w:rsid w:val="00CE27D8"/>
    <w:rsid w:val="00D06422"/>
    <w:rsid w:val="00D13C92"/>
    <w:rsid w:val="00D15AA8"/>
    <w:rsid w:val="00D21AF4"/>
    <w:rsid w:val="00D320C7"/>
    <w:rsid w:val="00DB7263"/>
    <w:rsid w:val="00DE1036"/>
    <w:rsid w:val="00E22341"/>
    <w:rsid w:val="00E677CD"/>
    <w:rsid w:val="00E90F71"/>
    <w:rsid w:val="00EC123A"/>
    <w:rsid w:val="00EF0653"/>
    <w:rsid w:val="00F012F7"/>
    <w:rsid w:val="00F015B2"/>
    <w:rsid w:val="00F372C9"/>
    <w:rsid w:val="00F452D2"/>
    <w:rsid w:val="00F54503"/>
    <w:rsid w:val="00F55F87"/>
    <w:rsid w:val="00F661D4"/>
    <w:rsid w:val="00FA7DE3"/>
    <w:rsid w:val="00FC61C5"/>
    <w:rsid w:val="00FE183A"/>
    <w:rsid w:val="00FE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96DC"/>
  <w15:chartTrackingRefBased/>
  <w15:docId w15:val="{8B1A1658-7F7F-4288-916D-4F10CE91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1AF"/>
  </w:style>
  <w:style w:type="paragraph" w:styleId="Footer">
    <w:name w:val="footer"/>
    <w:basedOn w:val="Normal"/>
    <w:link w:val="FooterChar"/>
    <w:uiPriority w:val="99"/>
    <w:unhideWhenUsed/>
    <w:rsid w:val="005C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1AF"/>
  </w:style>
  <w:style w:type="paragraph" w:styleId="NormalWeb">
    <w:name w:val="Normal (Web)"/>
    <w:basedOn w:val="Normal"/>
    <w:uiPriority w:val="99"/>
    <w:unhideWhenUsed/>
    <w:rsid w:val="00FE5F9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D515F"/>
    <w:rPr>
      <w:color w:val="0563C1" w:themeColor="hyperlink"/>
      <w:u w:val="single"/>
    </w:rPr>
  </w:style>
  <w:style w:type="character" w:styleId="UnresolvedMention">
    <w:name w:val="Unresolved Mention"/>
    <w:basedOn w:val="DefaultParagraphFont"/>
    <w:uiPriority w:val="99"/>
    <w:semiHidden/>
    <w:unhideWhenUsed/>
    <w:rsid w:val="00AD515F"/>
    <w:rPr>
      <w:color w:val="605E5C"/>
      <w:shd w:val="clear" w:color="auto" w:fill="E1DFDD"/>
    </w:rPr>
  </w:style>
  <w:style w:type="character" w:styleId="FollowedHyperlink">
    <w:name w:val="FollowedHyperlink"/>
    <w:basedOn w:val="DefaultParagraphFont"/>
    <w:uiPriority w:val="99"/>
    <w:semiHidden/>
    <w:unhideWhenUsed/>
    <w:rsid w:val="00AE7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1800">
      <w:bodyDiv w:val="1"/>
      <w:marLeft w:val="0"/>
      <w:marRight w:val="0"/>
      <w:marTop w:val="0"/>
      <w:marBottom w:val="0"/>
      <w:divBdr>
        <w:top w:val="none" w:sz="0" w:space="0" w:color="auto"/>
        <w:left w:val="none" w:sz="0" w:space="0" w:color="auto"/>
        <w:bottom w:val="none" w:sz="0" w:space="0" w:color="auto"/>
        <w:right w:val="none" w:sz="0" w:space="0" w:color="auto"/>
      </w:divBdr>
    </w:div>
    <w:div w:id="296254696">
      <w:bodyDiv w:val="1"/>
      <w:marLeft w:val="0"/>
      <w:marRight w:val="0"/>
      <w:marTop w:val="0"/>
      <w:marBottom w:val="0"/>
      <w:divBdr>
        <w:top w:val="none" w:sz="0" w:space="0" w:color="auto"/>
        <w:left w:val="none" w:sz="0" w:space="0" w:color="auto"/>
        <w:bottom w:val="none" w:sz="0" w:space="0" w:color="auto"/>
        <w:right w:val="none" w:sz="0" w:space="0" w:color="auto"/>
      </w:divBdr>
    </w:div>
    <w:div w:id="948389537">
      <w:bodyDiv w:val="1"/>
      <w:marLeft w:val="0"/>
      <w:marRight w:val="0"/>
      <w:marTop w:val="0"/>
      <w:marBottom w:val="0"/>
      <w:divBdr>
        <w:top w:val="none" w:sz="0" w:space="0" w:color="auto"/>
        <w:left w:val="none" w:sz="0" w:space="0" w:color="auto"/>
        <w:bottom w:val="none" w:sz="0" w:space="0" w:color="auto"/>
        <w:right w:val="none" w:sz="0" w:space="0" w:color="auto"/>
      </w:divBdr>
    </w:div>
    <w:div w:id="953251512">
      <w:bodyDiv w:val="1"/>
      <w:marLeft w:val="0"/>
      <w:marRight w:val="0"/>
      <w:marTop w:val="0"/>
      <w:marBottom w:val="0"/>
      <w:divBdr>
        <w:top w:val="none" w:sz="0" w:space="0" w:color="auto"/>
        <w:left w:val="none" w:sz="0" w:space="0" w:color="auto"/>
        <w:bottom w:val="none" w:sz="0" w:space="0" w:color="auto"/>
        <w:right w:val="none" w:sz="0" w:space="0" w:color="auto"/>
      </w:divBdr>
    </w:div>
    <w:div w:id="1132362673">
      <w:bodyDiv w:val="1"/>
      <w:marLeft w:val="0"/>
      <w:marRight w:val="0"/>
      <w:marTop w:val="0"/>
      <w:marBottom w:val="0"/>
      <w:divBdr>
        <w:top w:val="none" w:sz="0" w:space="0" w:color="auto"/>
        <w:left w:val="none" w:sz="0" w:space="0" w:color="auto"/>
        <w:bottom w:val="none" w:sz="0" w:space="0" w:color="auto"/>
        <w:right w:val="none" w:sz="0" w:space="0" w:color="auto"/>
      </w:divBdr>
    </w:div>
    <w:div w:id="16887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to.org/english/tratop_e/tpr_e/tp386_e.htm" TargetMode="External"/><Relationship Id="rId5" Type="http://schemas.openxmlformats.org/officeDocument/2006/relationships/footnotes" Target="footnotes.xml"/><Relationship Id="rId10" Type="http://schemas.openxmlformats.org/officeDocument/2006/relationships/hyperlink" Target="https://www.files.ethz.ch/isn/103836/costa-rica-2009-07.pdf"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a:t>
            </a:r>
            <a:r>
              <a:rPr lang="en-US" baseline="0"/>
              <a:t> of Defecit, in USD Millions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Sheet1!$A$6</c:f>
              <c:strCache>
                <c:ptCount val="1"/>
                <c:pt idx="0">
                  <c:v>Current Acc</c:v>
                </c:pt>
              </c:strCache>
            </c:strRef>
          </c:tx>
          <c:spPr>
            <a:solidFill>
              <a:schemeClr val="accent1"/>
            </a:solidFill>
            <a:ln>
              <a:noFill/>
            </a:ln>
            <a:effectLst/>
          </c:spPr>
          <c:invertIfNegative val="0"/>
          <c:cat>
            <c:numRef>
              <c:f>Sheet1!$B$5:$I$5</c:f>
              <c:numCache>
                <c:formatCode>General</c:formatCode>
                <c:ptCount val="8"/>
                <c:pt idx="0">
                  <c:v>2006</c:v>
                </c:pt>
                <c:pt idx="1">
                  <c:v>2007</c:v>
                </c:pt>
                <c:pt idx="2">
                  <c:v>2008</c:v>
                </c:pt>
                <c:pt idx="3">
                  <c:v>2009</c:v>
                </c:pt>
                <c:pt idx="4">
                  <c:v>2010</c:v>
                </c:pt>
                <c:pt idx="5">
                  <c:v>2011</c:v>
                </c:pt>
                <c:pt idx="6">
                  <c:v>2012</c:v>
                </c:pt>
                <c:pt idx="7">
                  <c:v>2013</c:v>
                </c:pt>
              </c:numCache>
            </c:numRef>
          </c:cat>
          <c:val>
            <c:numRef>
              <c:f>Sheet1!$B$6:$I$6</c:f>
              <c:numCache>
                <c:formatCode>#,##0.0</c:formatCode>
                <c:ptCount val="8"/>
                <c:pt idx="0">
                  <c:v>-938.71620357306483</c:v>
                </c:pt>
                <c:pt idx="1">
                  <c:v>-1498.80891255761</c:v>
                </c:pt>
                <c:pt idx="2">
                  <c:v>-2580.5473778933579</c:v>
                </c:pt>
                <c:pt idx="3">
                  <c:v>-560.58095763215067</c:v>
                </c:pt>
                <c:pt idx="4">
                  <c:v>-1213.8742544430356</c:v>
                </c:pt>
                <c:pt idx="5">
                  <c:v>-2265.0576214728949</c:v>
                </c:pt>
                <c:pt idx="6">
                  <c:v>-2411.0899809644147</c:v>
                </c:pt>
                <c:pt idx="7">
                  <c:v>-2431.1685628770415</c:v>
                </c:pt>
              </c:numCache>
            </c:numRef>
          </c:val>
          <c:extLst>
            <c:ext xmlns:c16="http://schemas.microsoft.com/office/drawing/2014/chart" uri="{C3380CC4-5D6E-409C-BE32-E72D297353CC}">
              <c16:uniqueId val="{00000000-CEDA-4424-9326-91D4FA7B1872}"/>
            </c:ext>
          </c:extLst>
        </c:ser>
        <c:ser>
          <c:idx val="1"/>
          <c:order val="1"/>
          <c:tx>
            <c:strRef>
              <c:f>Sheet1!$A$7</c:f>
              <c:strCache>
                <c:ptCount val="1"/>
                <c:pt idx="0">
                  <c:v>Fin Acc + Cap Acc</c:v>
                </c:pt>
              </c:strCache>
            </c:strRef>
          </c:tx>
          <c:spPr>
            <a:solidFill>
              <a:schemeClr val="accent2"/>
            </a:solidFill>
            <a:ln>
              <a:noFill/>
            </a:ln>
            <a:effectLst/>
          </c:spPr>
          <c:invertIfNegative val="0"/>
          <c:cat>
            <c:numRef>
              <c:f>Sheet1!$B$5:$I$5</c:f>
              <c:numCache>
                <c:formatCode>General</c:formatCode>
                <c:ptCount val="8"/>
                <c:pt idx="0">
                  <c:v>2006</c:v>
                </c:pt>
                <c:pt idx="1">
                  <c:v>2007</c:v>
                </c:pt>
                <c:pt idx="2">
                  <c:v>2008</c:v>
                </c:pt>
                <c:pt idx="3">
                  <c:v>2009</c:v>
                </c:pt>
                <c:pt idx="4">
                  <c:v>2010</c:v>
                </c:pt>
                <c:pt idx="5">
                  <c:v>2011</c:v>
                </c:pt>
                <c:pt idx="6">
                  <c:v>2012</c:v>
                </c:pt>
                <c:pt idx="7">
                  <c:v>2013</c:v>
                </c:pt>
              </c:numCache>
            </c:numRef>
          </c:cat>
          <c:val>
            <c:numRef>
              <c:f>Sheet1!$B$7:$I$7</c:f>
              <c:numCache>
                <c:formatCode>General</c:formatCode>
                <c:ptCount val="8"/>
                <c:pt idx="0">
                  <c:v>1636.3</c:v>
                </c:pt>
                <c:pt idx="1">
                  <c:v>2403.6999999999998</c:v>
                </c:pt>
                <c:pt idx="2">
                  <c:v>2650.9</c:v>
                </c:pt>
                <c:pt idx="3">
                  <c:v>690.6</c:v>
                </c:pt>
                <c:pt idx="4">
                  <c:v>2256.5</c:v>
                </c:pt>
                <c:pt idx="5">
                  <c:v>3026.6</c:v>
                </c:pt>
                <c:pt idx="6">
                  <c:v>4190</c:v>
                </c:pt>
                <c:pt idx="7">
                  <c:v>3552.3</c:v>
                </c:pt>
              </c:numCache>
            </c:numRef>
          </c:val>
          <c:extLst>
            <c:ext xmlns:c16="http://schemas.microsoft.com/office/drawing/2014/chart" uri="{C3380CC4-5D6E-409C-BE32-E72D297353CC}">
              <c16:uniqueId val="{00000001-CEDA-4424-9326-91D4FA7B1872}"/>
            </c:ext>
          </c:extLst>
        </c:ser>
        <c:dLbls>
          <c:showLegendKey val="0"/>
          <c:showVal val="0"/>
          <c:showCatName val="0"/>
          <c:showSerName val="0"/>
          <c:showPercent val="0"/>
          <c:showBubbleSize val="0"/>
        </c:dLbls>
        <c:gapWidth val="150"/>
        <c:overlap val="100"/>
        <c:axId val="208726400"/>
        <c:axId val="2129631344"/>
      </c:barChart>
      <c:catAx>
        <c:axId val="20872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631344"/>
        <c:crosses val="autoZero"/>
        <c:auto val="1"/>
        <c:lblAlgn val="ctr"/>
        <c:lblOffset val="100"/>
        <c:noMultiLvlLbl val="0"/>
      </c:catAx>
      <c:valAx>
        <c:axId val="2129631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72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Export</a:t>
            </a:r>
            <a:r>
              <a:rPr lang="en-US" baseline="0"/>
              <a:t> Services, in USD Millions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Sheet1!$A$10</c:f>
              <c:strCache>
                <c:ptCount val="1"/>
                <c:pt idx="0">
                  <c:v>Services, Export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Sheet1!$B$9:$I$9</c:f>
              <c:numCache>
                <c:formatCode>General</c:formatCode>
                <c:ptCount val="8"/>
                <c:pt idx="0">
                  <c:v>2006</c:v>
                </c:pt>
                <c:pt idx="1">
                  <c:v>2007</c:v>
                </c:pt>
                <c:pt idx="2">
                  <c:v>2008</c:v>
                </c:pt>
                <c:pt idx="3">
                  <c:v>2009</c:v>
                </c:pt>
                <c:pt idx="4">
                  <c:v>2010</c:v>
                </c:pt>
                <c:pt idx="5">
                  <c:v>2011</c:v>
                </c:pt>
                <c:pt idx="6">
                  <c:v>2012</c:v>
                </c:pt>
                <c:pt idx="7">
                  <c:v>2013</c:v>
                </c:pt>
              </c:numCache>
            </c:numRef>
          </c:cat>
          <c:val>
            <c:numRef>
              <c:f>Sheet1!$B$10:$I$10</c:f>
              <c:numCache>
                <c:formatCode>#,##0.0</c:formatCode>
                <c:ptCount val="8"/>
                <c:pt idx="0">
                  <c:v>3588.342113415903</c:v>
                </c:pt>
                <c:pt idx="1">
                  <c:v>4119.7118192894404</c:v>
                </c:pt>
                <c:pt idx="2">
                  <c:v>4604.2587945689202</c:v>
                </c:pt>
                <c:pt idx="3">
                  <c:v>4153.5049728959139</c:v>
                </c:pt>
                <c:pt idx="4">
                  <c:v>5021.4617780058898</c:v>
                </c:pt>
                <c:pt idx="5">
                  <c:v>5782.2326656657197</c:v>
                </c:pt>
                <c:pt idx="6">
                  <c:v>6208.5513331645698</c:v>
                </c:pt>
                <c:pt idx="7">
                  <c:v>6949.1714557456708</c:v>
                </c:pt>
              </c:numCache>
            </c:numRef>
          </c:val>
          <c:smooth val="0"/>
          <c:extLst>
            <c:ext xmlns:c16="http://schemas.microsoft.com/office/drawing/2014/chart" uri="{C3380CC4-5D6E-409C-BE32-E72D297353CC}">
              <c16:uniqueId val="{00000000-1611-4500-8349-D48EB1CFEFD5}"/>
            </c:ext>
          </c:extLst>
        </c:ser>
        <c:dLbls>
          <c:showLegendKey val="0"/>
          <c:showVal val="0"/>
          <c:showCatName val="0"/>
          <c:showSerName val="0"/>
          <c:showPercent val="0"/>
          <c:showBubbleSize val="0"/>
        </c:dLbls>
        <c:marker val="1"/>
        <c:smooth val="0"/>
        <c:axId val="217582896"/>
        <c:axId val="160439312"/>
      </c:lineChart>
      <c:catAx>
        <c:axId val="21758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39312"/>
        <c:crosses val="autoZero"/>
        <c:auto val="1"/>
        <c:lblAlgn val="ctr"/>
        <c:lblOffset val="100"/>
        <c:noMultiLvlLbl val="0"/>
      </c:catAx>
      <c:valAx>
        <c:axId val="1604393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582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 Acc + Cap Acc, in USD Millions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Sheet1!$A$15</c:f>
              <c:strCache>
                <c:ptCount val="1"/>
                <c:pt idx="0">
                  <c:v>Fin Acc + Cap Acc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Sheet1!$B$14:$I$14</c:f>
              <c:numCache>
                <c:formatCode>General</c:formatCode>
                <c:ptCount val="8"/>
                <c:pt idx="0">
                  <c:v>2006</c:v>
                </c:pt>
                <c:pt idx="1">
                  <c:v>2007</c:v>
                </c:pt>
                <c:pt idx="2">
                  <c:v>2008</c:v>
                </c:pt>
                <c:pt idx="3">
                  <c:v>2009</c:v>
                </c:pt>
                <c:pt idx="4">
                  <c:v>2010</c:v>
                </c:pt>
                <c:pt idx="5">
                  <c:v>2011</c:v>
                </c:pt>
                <c:pt idx="6">
                  <c:v>2012</c:v>
                </c:pt>
                <c:pt idx="7">
                  <c:v>2013</c:v>
                </c:pt>
              </c:numCache>
            </c:numRef>
          </c:cat>
          <c:val>
            <c:numRef>
              <c:f>Sheet1!$B$15:$I$15</c:f>
              <c:numCache>
                <c:formatCode>General</c:formatCode>
                <c:ptCount val="8"/>
                <c:pt idx="0">
                  <c:v>1636.3</c:v>
                </c:pt>
                <c:pt idx="1">
                  <c:v>2403.6999999999998</c:v>
                </c:pt>
                <c:pt idx="2">
                  <c:v>2650.9</c:v>
                </c:pt>
                <c:pt idx="3">
                  <c:v>690.6</c:v>
                </c:pt>
                <c:pt idx="4">
                  <c:v>2256.5</c:v>
                </c:pt>
                <c:pt idx="5">
                  <c:v>3026.6</c:v>
                </c:pt>
                <c:pt idx="6">
                  <c:v>4190</c:v>
                </c:pt>
                <c:pt idx="7">
                  <c:v>3552.3</c:v>
                </c:pt>
              </c:numCache>
            </c:numRef>
          </c:val>
          <c:smooth val="0"/>
          <c:extLst>
            <c:ext xmlns:c16="http://schemas.microsoft.com/office/drawing/2014/chart" uri="{C3380CC4-5D6E-409C-BE32-E72D297353CC}">
              <c16:uniqueId val="{00000000-B576-436A-9B2A-E089F5B29743}"/>
            </c:ext>
          </c:extLst>
        </c:ser>
        <c:dLbls>
          <c:showLegendKey val="0"/>
          <c:showVal val="0"/>
          <c:showCatName val="0"/>
          <c:showSerName val="0"/>
          <c:showPercent val="0"/>
          <c:showBubbleSize val="0"/>
        </c:dLbls>
        <c:marker val="1"/>
        <c:smooth val="0"/>
        <c:axId val="217589696"/>
        <c:axId val="160428912"/>
      </c:lineChart>
      <c:catAx>
        <c:axId val="21758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28912"/>
        <c:crosses val="autoZero"/>
        <c:auto val="1"/>
        <c:lblAlgn val="ctr"/>
        <c:lblOffset val="100"/>
        <c:noMultiLvlLbl val="0"/>
      </c:catAx>
      <c:valAx>
        <c:axId val="16042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589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456F-0553-4479-B8AA-43236274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11</cp:revision>
  <dcterms:created xsi:type="dcterms:W3CDTF">2020-12-04T23:33:00Z</dcterms:created>
  <dcterms:modified xsi:type="dcterms:W3CDTF">2020-12-06T23:27:00Z</dcterms:modified>
</cp:coreProperties>
</file>